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EEA" w:rsidRPr="00B11E4C" w:rsidRDefault="00EB4EEA" w:rsidP="00EB4EEA">
      <w:pPr>
        <w:spacing w:after="120"/>
        <w:rPr>
          <w:rFonts w:ascii="Times New Roman" w:hAnsi="Times New Roman"/>
          <w:sz w:val="22"/>
        </w:rPr>
      </w:pPr>
      <w:r w:rsidRPr="00B11E4C">
        <w:rPr>
          <w:rFonts w:ascii="Times New Roman" w:hAnsi="Times New Roman"/>
          <w:sz w:val="22"/>
        </w:rPr>
        <w:t xml:space="preserve">R. Simeon, “Debating Secession Peacefully and Democratically: The Case of Canada,” in A. </w:t>
      </w:r>
      <w:proofErr w:type="spellStart"/>
      <w:r w:rsidRPr="00B11E4C">
        <w:rPr>
          <w:rFonts w:ascii="Times New Roman" w:hAnsi="Times New Roman"/>
          <w:sz w:val="22"/>
        </w:rPr>
        <w:t>Stepan</w:t>
      </w:r>
      <w:proofErr w:type="spellEnd"/>
      <w:r w:rsidRPr="00B11E4C">
        <w:rPr>
          <w:rFonts w:ascii="Times New Roman" w:hAnsi="Times New Roman"/>
          <w:sz w:val="22"/>
        </w:rPr>
        <w:t xml:space="preserve">, ed., </w:t>
      </w:r>
      <w:r w:rsidRPr="00B11E4C">
        <w:rPr>
          <w:rFonts w:ascii="Times New Roman" w:hAnsi="Times New Roman"/>
          <w:i/>
          <w:sz w:val="22"/>
        </w:rPr>
        <w:t>Democracies in Danger</w:t>
      </w:r>
      <w:r w:rsidRPr="00B11E4C">
        <w:rPr>
          <w:rFonts w:ascii="Times New Roman" w:hAnsi="Times New Roman"/>
          <w:sz w:val="22"/>
        </w:rPr>
        <w:t xml:space="preserve"> (Baltimore, 2009)</w:t>
      </w:r>
    </w:p>
    <w:p w:rsidR="00EB4EEA" w:rsidRPr="00B11E4C" w:rsidRDefault="00EB4EEA" w:rsidP="00EB4EEA">
      <w:pPr>
        <w:spacing w:after="120"/>
        <w:rPr>
          <w:rFonts w:ascii="Times New Roman" w:hAnsi="Times New Roman"/>
          <w:b/>
          <w:sz w:val="22"/>
        </w:rPr>
      </w:pPr>
      <w:r w:rsidRPr="00B11E4C">
        <w:rPr>
          <w:rFonts w:ascii="Times New Roman" w:hAnsi="Times New Roman"/>
          <w:b/>
          <w:sz w:val="22"/>
        </w:rPr>
        <w:t>Overview</w:t>
      </w:r>
    </w:p>
    <w:p w:rsidR="00EB4EEA" w:rsidRPr="00B11E4C" w:rsidRDefault="00EB4EEA" w:rsidP="00EB4EEA">
      <w:pPr>
        <w:spacing w:after="120"/>
        <w:rPr>
          <w:rFonts w:ascii="Times New Roman" w:hAnsi="Times New Roman"/>
          <w:sz w:val="22"/>
        </w:rPr>
      </w:pPr>
      <w:r w:rsidRPr="00B11E4C">
        <w:rPr>
          <w:rFonts w:ascii="Times New Roman" w:hAnsi="Times New Roman"/>
          <w:sz w:val="22"/>
        </w:rPr>
        <w:t>Simeon is of the view that Canada has done the accommodation and management of difference well. Chapter focuses specifically on Quebec-Canada division. Success is measured – really – by whether Canada remains as a single political entity</w:t>
      </w:r>
    </w:p>
    <w:p w:rsidR="00EB4EEA" w:rsidRPr="00B11E4C" w:rsidRDefault="00EB4EEA" w:rsidP="00EB4EEA">
      <w:pPr>
        <w:spacing w:after="120"/>
        <w:rPr>
          <w:rFonts w:ascii="Times New Roman" w:hAnsi="Times New Roman"/>
          <w:b/>
          <w:sz w:val="22"/>
        </w:rPr>
      </w:pPr>
      <w:r w:rsidRPr="00B11E4C">
        <w:rPr>
          <w:rFonts w:ascii="Times New Roman" w:hAnsi="Times New Roman"/>
          <w:b/>
          <w:sz w:val="22"/>
        </w:rPr>
        <w:t>Background</w:t>
      </w:r>
    </w:p>
    <w:p w:rsidR="00EB4EEA" w:rsidRPr="00B11E4C" w:rsidRDefault="00EB4EEA" w:rsidP="00EB4EEA">
      <w:pPr>
        <w:pStyle w:val="ListParagraph"/>
        <w:numPr>
          <w:ilvl w:val="0"/>
          <w:numId w:val="1"/>
        </w:numPr>
        <w:spacing w:after="120"/>
        <w:rPr>
          <w:rFonts w:ascii="Times New Roman" w:hAnsi="Times New Roman"/>
          <w:sz w:val="22"/>
        </w:rPr>
      </w:pPr>
      <w:proofErr w:type="spellStart"/>
      <w:r w:rsidRPr="00B11E4C">
        <w:rPr>
          <w:rFonts w:ascii="Times New Roman" w:hAnsi="Times New Roman"/>
          <w:sz w:val="22"/>
        </w:rPr>
        <w:t>Cdn</w:t>
      </w:r>
      <w:proofErr w:type="spellEnd"/>
      <w:r w:rsidRPr="00B11E4C">
        <w:rPr>
          <w:rFonts w:ascii="Times New Roman" w:hAnsi="Times New Roman"/>
          <w:sz w:val="22"/>
        </w:rPr>
        <w:t xml:space="preserve"> democracy faces the task of managing three distinct dimensions of deep diversity: </w:t>
      </w:r>
    </w:p>
    <w:p w:rsidR="00EB4EEA" w:rsidRPr="00B11E4C" w:rsidRDefault="00EB4EEA" w:rsidP="00EB4EEA">
      <w:pPr>
        <w:pStyle w:val="ListParagraph"/>
        <w:numPr>
          <w:ilvl w:val="1"/>
          <w:numId w:val="1"/>
        </w:numPr>
        <w:spacing w:after="120"/>
        <w:rPr>
          <w:rFonts w:ascii="Times New Roman" w:hAnsi="Times New Roman"/>
          <w:sz w:val="22"/>
        </w:rPr>
      </w:pPr>
      <w:r w:rsidRPr="00B11E4C">
        <w:rPr>
          <w:rFonts w:ascii="Times New Roman" w:hAnsi="Times New Roman"/>
          <w:sz w:val="22"/>
        </w:rPr>
        <w:t xml:space="preserve">First and most important in the sense that only it has the potential of breaking the </w:t>
      </w:r>
      <w:proofErr w:type="spellStart"/>
      <w:r w:rsidRPr="00B11E4C">
        <w:rPr>
          <w:rFonts w:ascii="Times New Roman" w:hAnsi="Times New Roman"/>
          <w:sz w:val="22"/>
        </w:rPr>
        <w:t>Cdn</w:t>
      </w:r>
      <w:proofErr w:type="spellEnd"/>
      <w:r w:rsidRPr="00B11E4C">
        <w:rPr>
          <w:rFonts w:ascii="Times New Roman" w:hAnsi="Times New Roman"/>
          <w:sz w:val="22"/>
        </w:rPr>
        <w:t xml:space="preserve"> union is </w:t>
      </w:r>
      <w:r w:rsidRPr="00B11E4C">
        <w:rPr>
          <w:rFonts w:ascii="Times New Roman" w:hAnsi="Times New Roman"/>
          <w:b/>
          <w:sz w:val="22"/>
        </w:rPr>
        <w:t>language</w:t>
      </w:r>
    </w:p>
    <w:p w:rsidR="00EB4EEA" w:rsidRPr="00B11E4C" w:rsidRDefault="00EB4EEA" w:rsidP="00EB4EEA">
      <w:pPr>
        <w:pStyle w:val="ListParagraph"/>
        <w:numPr>
          <w:ilvl w:val="1"/>
          <w:numId w:val="1"/>
        </w:numPr>
        <w:spacing w:after="120"/>
        <w:rPr>
          <w:rFonts w:ascii="Times New Roman" w:hAnsi="Times New Roman"/>
          <w:sz w:val="22"/>
        </w:rPr>
      </w:pPr>
      <w:r w:rsidRPr="00B11E4C">
        <w:rPr>
          <w:rFonts w:ascii="Times New Roman" w:hAnsi="Times New Roman"/>
          <w:sz w:val="22"/>
        </w:rPr>
        <w:t xml:space="preserve">Second, Canada – like Australia, New Zealand, and many Latin American countries, has an indigenous </w:t>
      </w:r>
      <w:r w:rsidRPr="00B11E4C">
        <w:rPr>
          <w:rFonts w:ascii="Times New Roman" w:hAnsi="Times New Roman"/>
          <w:b/>
          <w:sz w:val="22"/>
        </w:rPr>
        <w:t>Aboriginal population</w:t>
      </w:r>
      <w:r w:rsidRPr="00B11E4C">
        <w:rPr>
          <w:rFonts w:ascii="Times New Roman" w:hAnsi="Times New Roman"/>
          <w:sz w:val="22"/>
        </w:rPr>
        <w:t xml:space="preserve"> that has been historically exploited and marginalized</w:t>
      </w:r>
    </w:p>
    <w:p w:rsidR="00EB4EEA" w:rsidRPr="00B11E4C" w:rsidRDefault="00EB4EEA" w:rsidP="00EB4EEA">
      <w:pPr>
        <w:pStyle w:val="ListParagraph"/>
        <w:numPr>
          <w:ilvl w:val="1"/>
          <w:numId w:val="1"/>
        </w:numPr>
        <w:spacing w:after="120"/>
        <w:rPr>
          <w:rFonts w:ascii="Times New Roman" w:hAnsi="Times New Roman"/>
          <w:sz w:val="22"/>
        </w:rPr>
      </w:pPr>
      <w:r w:rsidRPr="00B11E4C">
        <w:rPr>
          <w:rFonts w:ascii="Times New Roman" w:hAnsi="Times New Roman"/>
          <w:sz w:val="22"/>
        </w:rPr>
        <w:t xml:space="preserve">Third, Canada is a </w:t>
      </w:r>
      <w:r w:rsidRPr="00B11E4C">
        <w:rPr>
          <w:rFonts w:ascii="Times New Roman" w:hAnsi="Times New Roman"/>
          <w:b/>
          <w:sz w:val="22"/>
        </w:rPr>
        <w:t xml:space="preserve">multicultural </w:t>
      </w:r>
      <w:r w:rsidRPr="00B11E4C">
        <w:rPr>
          <w:rFonts w:ascii="Times New Roman" w:hAnsi="Times New Roman"/>
          <w:sz w:val="22"/>
        </w:rPr>
        <w:t>country</w:t>
      </w:r>
    </w:p>
    <w:p w:rsidR="00EB4EEA" w:rsidRPr="00B11E4C" w:rsidRDefault="00EB4EEA" w:rsidP="004C403D">
      <w:pPr>
        <w:pStyle w:val="ListParagraph"/>
        <w:spacing w:after="120"/>
        <w:rPr>
          <w:rFonts w:ascii="Times New Roman" w:hAnsi="Times New Roman"/>
          <w:sz w:val="22"/>
        </w:rPr>
      </w:pPr>
    </w:p>
    <w:p w:rsidR="00EB4EEA"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 xml:space="preserve">In 1995 – Quebec voters came close to choosing to opt for a sovereign nation. Following the referendum, the federal </w:t>
      </w:r>
      <w:proofErr w:type="spellStart"/>
      <w:r w:rsidRPr="00B11E4C">
        <w:rPr>
          <w:rFonts w:ascii="Times New Roman" w:hAnsi="Times New Roman"/>
          <w:sz w:val="22"/>
        </w:rPr>
        <w:t>govt</w:t>
      </w:r>
      <w:proofErr w:type="spellEnd"/>
      <w:r w:rsidRPr="00B11E4C">
        <w:rPr>
          <w:rFonts w:ascii="Times New Roman" w:hAnsi="Times New Roman"/>
          <w:sz w:val="22"/>
        </w:rPr>
        <w:t xml:space="preserve"> became convinced that it was essential to clarify the rules of the game that should accompany the debate on secession. In particular, it believed that the question that had been put to Quebecers was unfairly stacked by offering the accompanying promise of partnership (a partnership that would </w:t>
      </w:r>
      <w:proofErr w:type="spellStart"/>
      <w:r w:rsidRPr="00B11E4C">
        <w:rPr>
          <w:rFonts w:ascii="Times New Roman" w:hAnsi="Times New Roman"/>
          <w:sz w:val="22"/>
        </w:rPr>
        <w:t>hwr</w:t>
      </w:r>
      <w:proofErr w:type="spellEnd"/>
      <w:r w:rsidRPr="00B11E4C">
        <w:rPr>
          <w:rFonts w:ascii="Times New Roman" w:hAnsi="Times New Roman"/>
          <w:sz w:val="22"/>
        </w:rPr>
        <w:t xml:space="preserve"> require the consent of the ROC)</w:t>
      </w:r>
    </w:p>
    <w:p w:rsidR="00EB4EEA"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English-speaking Quebecers and immigrant groups, as well as Quebec Aboriginals remained deeply hostile to independence</w:t>
      </w:r>
    </w:p>
    <w:p w:rsidR="00EB4EEA"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Put the question to the SCC</w:t>
      </w:r>
    </w:p>
    <w:p w:rsidR="00EB4EEA" w:rsidRPr="00B11E4C" w:rsidRDefault="00EB4EEA" w:rsidP="004C403D">
      <w:pPr>
        <w:pStyle w:val="ListParagraph"/>
        <w:spacing w:after="120"/>
        <w:rPr>
          <w:rFonts w:ascii="Times New Roman" w:hAnsi="Times New Roman"/>
          <w:sz w:val="22"/>
        </w:rPr>
      </w:pPr>
    </w:p>
    <w:p w:rsidR="00EB4EEA"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 xml:space="preserve">The SCC concluded that neither the </w:t>
      </w:r>
      <w:proofErr w:type="spellStart"/>
      <w:r w:rsidRPr="00B11E4C">
        <w:rPr>
          <w:rFonts w:ascii="Times New Roman" w:hAnsi="Times New Roman"/>
          <w:sz w:val="22"/>
        </w:rPr>
        <w:t>Cdn</w:t>
      </w:r>
      <w:proofErr w:type="spellEnd"/>
      <w:r w:rsidRPr="00B11E4C">
        <w:rPr>
          <w:rFonts w:ascii="Times New Roman" w:hAnsi="Times New Roman"/>
          <w:sz w:val="22"/>
        </w:rPr>
        <w:t xml:space="preserve"> constitution, nor international law governing self-determination provided a right to unilateral secession (</w:t>
      </w:r>
      <w:proofErr w:type="spellStart"/>
      <w:r w:rsidRPr="00B11E4C">
        <w:rPr>
          <w:rFonts w:ascii="Times New Roman" w:hAnsi="Times New Roman"/>
          <w:sz w:val="22"/>
        </w:rPr>
        <w:t>Cdn</w:t>
      </w:r>
      <w:proofErr w:type="spellEnd"/>
      <w:r w:rsidRPr="00B11E4C">
        <w:rPr>
          <w:rFonts w:ascii="Times New Roman" w:hAnsi="Times New Roman"/>
          <w:sz w:val="22"/>
        </w:rPr>
        <w:t xml:space="preserve"> constitution is silent on the matter, and international law sets forth the right to self-determination on whether the claimant nation suffered from oppression from the majority).</w:t>
      </w:r>
    </w:p>
    <w:p w:rsidR="00EB4EEA"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 xml:space="preserve">Court went on to say that in the event that Quebec were to vote for secession by a clear majority, </w:t>
      </w:r>
      <w:proofErr w:type="gramStart"/>
      <w:r w:rsidRPr="00B11E4C">
        <w:rPr>
          <w:rFonts w:ascii="Times New Roman" w:hAnsi="Times New Roman"/>
          <w:sz w:val="22"/>
        </w:rPr>
        <w:t>and</w:t>
      </w:r>
      <w:proofErr w:type="gramEnd"/>
      <w:r w:rsidRPr="00B11E4C">
        <w:rPr>
          <w:rFonts w:ascii="Times New Roman" w:hAnsi="Times New Roman"/>
          <w:sz w:val="22"/>
        </w:rPr>
        <w:t xml:space="preserve"> on a clear question, then the ROC would have a constitutional obligation to negotiate the matter</w:t>
      </w:r>
    </w:p>
    <w:p w:rsidR="00EB4EEA" w:rsidRPr="00B11E4C" w:rsidRDefault="00EB4EEA" w:rsidP="004C403D">
      <w:pPr>
        <w:pStyle w:val="ListParagraph"/>
        <w:spacing w:after="120"/>
        <w:rPr>
          <w:rFonts w:ascii="Times New Roman" w:hAnsi="Times New Roman"/>
          <w:sz w:val="22"/>
        </w:rPr>
      </w:pPr>
    </w:p>
    <w:p w:rsidR="00EB4EEA"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 xml:space="preserve">Status of debate remains uncertain. In 2003, </w:t>
      </w:r>
      <w:proofErr w:type="spellStart"/>
      <w:r w:rsidRPr="00B11E4C">
        <w:rPr>
          <w:rFonts w:ascii="Times New Roman" w:hAnsi="Times New Roman"/>
          <w:sz w:val="22"/>
        </w:rPr>
        <w:t>sovereigntist</w:t>
      </w:r>
      <w:proofErr w:type="spellEnd"/>
      <w:r w:rsidRPr="00B11E4C">
        <w:rPr>
          <w:rFonts w:ascii="Times New Roman" w:hAnsi="Times New Roman"/>
          <w:sz w:val="22"/>
        </w:rPr>
        <w:t xml:space="preserve"> movement appeared to be on the decline. Harper minority </w:t>
      </w:r>
      <w:proofErr w:type="spellStart"/>
      <w:r w:rsidRPr="00B11E4C">
        <w:rPr>
          <w:rFonts w:ascii="Times New Roman" w:hAnsi="Times New Roman"/>
          <w:sz w:val="22"/>
        </w:rPr>
        <w:t>govt</w:t>
      </w:r>
      <w:proofErr w:type="spellEnd"/>
      <w:r w:rsidRPr="00B11E4C">
        <w:rPr>
          <w:rFonts w:ascii="Times New Roman" w:hAnsi="Times New Roman"/>
          <w:sz w:val="22"/>
        </w:rPr>
        <w:t xml:space="preserve"> in 2008 sought to strengthen its support in Quebec by espousing a decentralist</w:t>
      </w:r>
      <w:r w:rsidRPr="00B11E4C">
        <w:rPr>
          <w:rFonts w:ascii="Times New Roman" w:hAnsi="Times New Roman"/>
          <w:i/>
          <w:sz w:val="22"/>
        </w:rPr>
        <w:t xml:space="preserve"> Open Federalism </w:t>
      </w:r>
      <w:r w:rsidRPr="00B11E4C">
        <w:rPr>
          <w:rFonts w:ascii="Times New Roman" w:hAnsi="Times New Roman"/>
          <w:sz w:val="22"/>
        </w:rPr>
        <w:t>that included major fiscal transfers to the provinces, and a parliamentary resolution that for the first time affirmed that Quebec constituted a nation within Canada</w:t>
      </w:r>
    </w:p>
    <w:p w:rsidR="00EB4EEA" w:rsidRPr="00B11E4C" w:rsidRDefault="00EB4EEA" w:rsidP="004C403D">
      <w:pPr>
        <w:pStyle w:val="ListParagraph"/>
        <w:spacing w:after="120"/>
        <w:rPr>
          <w:rFonts w:ascii="Times New Roman" w:hAnsi="Times New Roman"/>
          <w:sz w:val="22"/>
        </w:rPr>
      </w:pPr>
    </w:p>
    <w:p w:rsidR="00BC4B55" w:rsidRPr="00B11E4C" w:rsidRDefault="00EB4EEA" w:rsidP="00EB4EEA">
      <w:pPr>
        <w:pStyle w:val="ListParagraph"/>
        <w:numPr>
          <w:ilvl w:val="0"/>
          <w:numId w:val="1"/>
        </w:numPr>
        <w:spacing w:after="120"/>
        <w:rPr>
          <w:rFonts w:ascii="Times New Roman" w:hAnsi="Times New Roman"/>
          <w:sz w:val="22"/>
        </w:rPr>
      </w:pPr>
      <w:r w:rsidRPr="00B11E4C">
        <w:rPr>
          <w:rFonts w:ascii="Times New Roman" w:hAnsi="Times New Roman"/>
          <w:sz w:val="22"/>
        </w:rPr>
        <w:t xml:space="preserve">Given the frequency with which such movements in other countries descend into violence and civil war, it is worth asking what it is about the </w:t>
      </w:r>
      <w:proofErr w:type="spellStart"/>
      <w:r w:rsidRPr="00B11E4C">
        <w:rPr>
          <w:rFonts w:ascii="Times New Roman" w:hAnsi="Times New Roman"/>
          <w:sz w:val="22"/>
        </w:rPr>
        <w:t>Cdn</w:t>
      </w:r>
      <w:proofErr w:type="spellEnd"/>
      <w:r w:rsidRPr="00B11E4C">
        <w:rPr>
          <w:rFonts w:ascii="Times New Roman" w:hAnsi="Times New Roman"/>
          <w:sz w:val="22"/>
        </w:rPr>
        <w:t xml:space="preserve"> case that permitted such a democratic debate on such a vital issue.</w:t>
      </w:r>
      <w:r w:rsidR="00BC4B55" w:rsidRPr="00B11E4C">
        <w:rPr>
          <w:rFonts w:ascii="Times New Roman" w:hAnsi="Times New Roman"/>
          <w:sz w:val="22"/>
        </w:rPr>
        <w:t xml:space="preserve"> Simeon distinguishes 4 factors:</w:t>
      </w:r>
    </w:p>
    <w:p w:rsidR="00BC4B55" w:rsidRPr="00B11E4C" w:rsidRDefault="00BC4B55" w:rsidP="00BC4B55">
      <w:pPr>
        <w:pStyle w:val="ListParagraph"/>
        <w:numPr>
          <w:ilvl w:val="1"/>
          <w:numId w:val="1"/>
        </w:numPr>
        <w:spacing w:after="120"/>
        <w:rPr>
          <w:rFonts w:ascii="Times New Roman" w:hAnsi="Times New Roman"/>
          <w:sz w:val="22"/>
        </w:rPr>
      </w:pPr>
      <w:r w:rsidRPr="00B11E4C">
        <w:rPr>
          <w:rFonts w:ascii="Times New Roman" w:hAnsi="Times New Roman"/>
          <w:sz w:val="22"/>
        </w:rPr>
        <w:t>Cultures and Values:</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Democratic values</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Predominantly “civic” nationalisms</w:t>
      </w:r>
    </w:p>
    <w:p w:rsidR="00BC4B55" w:rsidRPr="00B11E4C" w:rsidRDefault="00BC4B55" w:rsidP="00BC4B55">
      <w:pPr>
        <w:pStyle w:val="ListParagraph"/>
        <w:numPr>
          <w:ilvl w:val="1"/>
          <w:numId w:val="1"/>
        </w:numPr>
        <w:spacing w:after="120"/>
        <w:rPr>
          <w:rFonts w:ascii="Times New Roman" w:hAnsi="Times New Roman"/>
          <w:sz w:val="22"/>
        </w:rPr>
      </w:pPr>
      <w:r w:rsidRPr="00B11E4C">
        <w:rPr>
          <w:rFonts w:ascii="Times New Roman" w:hAnsi="Times New Roman"/>
          <w:sz w:val="22"/>
        </w:rPr>
        <w:t xml:space="preserve">Historical legacies </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Canada as a “negotiated country”, and logic of federalism can provide a broad framework for accommodation</w:t>
      </w:r>
    </w:p>
    <w:p w:rsidR="00BC4B55" w:rsidRPr="00B11E4C" w:rsidRDefault="00BC4B55" w:rsidP="00BC4B55">
      <w:pPr>
        <w:pStyle w:val="ListParagraph"/>
        <w:numPr>
          <w:ilvl w:val="1"/>
          <w:numId w:val="1"/>
        </w:numPr>
        <w:spacing w:after="120"/>
        <w:rPr>
          <w:rFonts w:ascii="Times New Roman" w:hAnsi="Times New Roman"/>
          <w:sz w:val="22"/>
        </w:rPr>
      </w:pPr>
      <w:r w:rsidRPr="00B11E4C">
        <w:rPr>
          <w:rFonts w:ascii="Times New Roman" w:hAnsi="Times New Roman"/>
          <w:sz w:val="22"/>
        </w:rPr>
        <w:t>Institutional factors:</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A multi-unit federation</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Provincial autonomy – building out: greater decentralization, asymmetrical federalism</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Integration of the centre – building in: integrating multiculturalism policies, official languages act, etc</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Role of an independent court</w:t>
      </w:r>
    </w:p>
    <w:p w:rsidR="00BC4B55" w:rsidRPr="00B11E4C" w:rsidRDefault="00BC4B55" w:rsidP="00BC4B55">
      <w:pPr>
        <w:pStyle w:val="ListParagraph"/>
        <w:numPr>
          <w:ilvl w:val="1"/>
          <w:numId w:val="1"/>
        </w:numPr>
        <w:spacing w:after="120"/>
        <w:rPr>
          <w:rFonts w:ascii="Times New Roman" w:hAnsi="Times New Roman"/>
          <w:sz w:val="22"/>
        </w:rPr>
      </w:pPr>
      <w:r w:rsidRPr="00B11E4C">
        <w:rPr>
          <w:rFonts w:ascii="Times New Roman" w:hAnsi="Times New Roman"/>
          <w:sz w:val="22"/>
        </w:rPr>
        <w:t>Contextual factors</w:t>
      </w:r>
    </w:p>
    <w:p w:rsidR="00BC4B55"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Distinct but interdependent societies</w:t>
      </w:r>
    </w:p>
    <w:p w:rsidR="00EB4EEA" w:rsidRPr="00B11E4C" w:rsidRDefault="00BC4B55" w:rsidP="00BC4B55">
      <w:pPr>
        <w:pStyle w:val="ListParagraph"/>
        <w:numPr>
          <w:ilvl w:val="2"/>
          <w:numId w:val="1"/>
        </w:numPr>
        <w:spacing w:after="120"/>
        <w:rPr>
          <w:rFonts w:ascii="Times New Roman" w:hAnsi="Times New Roman"/>
          <w:sz w:val="22"/>
        </w:rPr>
      </w:pPr>
      <w:r w:rsidRPr="00B11E4C">
        <w:rPr>
          <w:rFonts w:ascii="Times New Roman" w:hAnsi="Times New Roman"/>
          <w:sz w:val="22"/>
        </w:rPr>
        <w:t>Presence of the US</w:t>
      </w:r>
    </w:p>
    <w:p w:rsidR="00BC4B55" w:rsidRPr="00B11E4C" w:rsidRDefault="00EB4EEA" w:rsidP="00EB4EEA">
      <w:pPr>
        <w:spacing w:after="120"/>
        <w:rPr>
          <w:rFonts w:ascii="Times New Roman" w:hAnsi="Times New Roman"/>
          <w:b/>
          <w:sz w:val="22"/>
        </w:rPr>
      </w:pPr>
      <w:r w:rsidRPr="00B11E4C">
        <w:rPr>
          <w:rFonts w:ascii="Times New Roman" w:hAnsi="Times New Roman"/>
          <w:b/>
          <w:sz w:val="22"/>
        </w:rPr>
        <w:t>Conclusions</w:t>
      </w:r>
    </w:p>
    <w:p w:rsidR="00EB4EEA" w:rsidRPr="00B11E4C" w:rsidRDefault="00BC4B55" w:rsidP="00EB4EEA">
      <w:pPr>
        <w:spacing w:after="120"/>
        <w:rPr>
          <w:rFonts w:ascii="Times New Roman" w:hAnsi="Times New Roman"/>
          <w:sz w:val="22"/>
        </w:rPr>
      </w:pPr>
      <w:r w:rsidRPr="00B11E4C">
        <w:rPr>
          <w:rFonts w:ascii="Times New Roman" w:hAnsi="Times New Roman"/>
          <w:sz w:val="22"/>
        </w:rPr>
        <w:t xml:space="preserve">Canadians have not invented any magical formula that can easily be transferred. Indeed, many aspects of the story are highly dependent on Canada’s </w:t>
      </w:r>
      <w:proofErr w:type="spellStart"/>
      <w:r w:rsidRPr="00B11E4C">
        <w:rPr>
          <w:rFonts w:ascii="Times New Roman" w:hAnsi="Times New Roman"/>
          <w:sz w:val="22"/>
        </w:rPr>
        <w:t>hx</w:t>
      </w:r>
      <w:proofErr w:type="spellEnd"/>
      <w:r w:rsidRPr="00B11E4C">
        <w:rPr>
          <w:rFonts w:ascii="Times New Roman" w:hAnsi="Times New Roman"/>
          <w:sz w:val="22"/>
        </w:rPr>
        <w:t xml:space="preserve"> and particular context. Canada’s historical legacy as a negotiated country cannot be replicated; nor can democratic, civil, and tolerant political cultures be created overnight. </w:t>
      </w:r>
      <w:r w:rsidR="00B11E4C" w:rsidRPr="00B11E4C">
        <w:rPr>
          <w:rFonts w:ascii="Times New Roman" w:hAnsi="Times New Roman"/>
          <w:sz w:val="22"/>
        </w:rPr>
        <w:t xml:space="preserve">Yet </w:t>
      </w:r>
      <w:proofErr w:type="spellStart"/>
      <w:r w:rsidR="00B11E4C" w:rsidRPr="00B11E4C">
        <w:rPr>
          <w:rFonts w:ascii="Times New Roman" w:hAnsi="Times New Roman"/>
          <w:sz w:val="22"/>
        </w:rPr>
        <w:t>Cdn</w:t>
      </w:r>
      <w:proofErr w:type="spellEnd"/>
      <w:r w:rsidR="00B11E4C" w:rsidRPr="00B11E4C">
        <w:rPr>
          <w:rFonts w:ascii="Times New Roman" w:hAnsi="Times New Roman"/>
          <w:sz w:val="22"/>
        </w:rPr>
        <w:t xml:space="preserve"> case also demonstrates some lessons that can be useful: the importance of general agreement on rules of the game; the importance of independent third parties to medicate the conflict; the importance of institutions that combine autonomy for sub-state nations with their full representation at the centre. All these can facilitate democratic debate.</w:t>
      </w:r>
    </w:p>
    <w:p w:rsidR="00EB4EEA" w:rsidRPr="00B11E4C" w:rsidRDefault="00EB4EEA" w:rsidP="00EB4EEA">
      <w:pPr>
        <w:spacing w:after="120"/>
        <w:rPr>
          <w:rFonts w:ascii="Times New Roman" w:hAnsi="Times New Roman"/>
          <w:b/>
          <w:sz w:val="22"/>
        </w:rPr>
      </w:pPr>
    </w:p>
    <w:p w:rsidR="00EB4EEA" w:rsidRPr="00B11E4C" w:rsidRDefault="00EB4EEA"/>
    <w:sectPr w:rsidR="00EB4EEA" w:rsidRPr="00B11E4C" w:rsidSect="00EB4EE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07923"/>
    <w:multiLevelType w:val="hybridMultilevel"/>
    <w:tmpl w:val="BB8A417E"/>
    <w:lvl w:ilvl="0" w:tplc="FB70888C">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B4EEA"/>
    <w:rsid w:val="004C403D"/>
    <w:rsid w:val="00514983"/>
    <w:rsid w:val="00B11E4C"/>
    <w:rsid w:val="00BC4B55"/>
    <w:rsid w:val="00EB4EE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E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B4E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501</Words>
  <Characters>2857</Characters>
  <Application>Microsoft Macintosh Word</Application>
  <DocSecurity>0</DocSecurity>
  <Lines>23</Lines>
  <Paragraphs>5</Paragraphs>
  <ScaleCrop>false</ScaleCrop>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cp:lastPrinted>2012-05-13T14:02:00Z</cp:lastPrinted>
  <dcterms:created xsi:type="dcterms:W3CDTF">2012-05-13T13:23:00Z</dcterms:created>
  <dcterms:modified xsi:type="dcterms:W3CDTF">2012-05-13T17:24:00Z</dcterms:modified>
</cp:coreProperties>
</file>